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Barlow Condensed" w:cs="Barlow Condensed" w:eastAsia="Barlow Condensed" w:hAnsi="Barlow Condensed"/>
          <w:b/>
          <w:bCs/>
          <w:caps/>
          <w:color w:val="26332F"/>
          <w:sz w:val="52"/>
          <w:szCs w:val="52"/>
        </w:rPr>
        <w:t xml:space="preserve">Water Rights — Deep Dive &amp; 10–20 Year Value Thesis</w:t>
      </w:r>
    </w:p>
    <w:p>
      <w:pPr>
        <w:spacing w:after="220" w:before="0"/>
      </w:pPr>
      <w:r>
        <w:rPr>
          <w:rFonts w:ascii="DM Sans" w:cs="DM Sans" w:eastAsia="DM Sans" w:hAnsi="DM Sans"/>
          <w:b w:val="false"/>
          <w:bCs w:val="false"/>
          <w:i/>
          <w:iCs/>
          <w:caps w:val="false"/>
          <w:color w:val="595959"/>
          <w:sz w:val="17"/>
          <w:szCs w:val="17"/>
        </w:rPr>
        <w:t xml:space="preserve">Basecamp Trinidad · 2 Chilili Ditch shares (senior 1862 priority) · Prepared 2026-07-06 · All figures illustrative and directional, not an appraisal.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default"/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B5502F"/>
          <w:sz w:val="30"/>
          <w:szCs w:val="30"/>
        </w:rPr>
        <w:t xml:space="preserve">1. What we actually own (and why the wording matters)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Type: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mutual ditch company shares — not a raw decreed right, not a Colorado-Big Thompson (C-BT) unit. Value is set by the share's </w:t>
      </w: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historical consumptive use (CU)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, quantified in water court, not by the nominal allocation.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Priority: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1862 — senior. In a “first in time, first in right” basin, an 1862 date is close to the top of the stack. Senior rights are the ones that still get water in a drought when junior rights get shut off. This is the single most valuable attribute we hold.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Basin: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Purgatoire, a tributary within the greater Arkansas system — officially over-appropriated. No meaningful new supply is available; demand is met only by moving existing rights. That structural scarcity is the appreciation thesis in one sentence.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Constraint to verify at title: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some deeds stipulate water cannot be sold separately from the land, or must stay within a parcel/boundary. Our shares are described as conveying and being signed over at closing, which is consistent with transferable shares — but the deed language and the ditch company's transfer rules must be confirmed. This is a diligence item, not an assumption.</w:t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B5502F"/>
          <w:sz w:val="30"/>
          <w:szCs w:val="30"/>
        </w:rPr>
        <w:t xml:space="preserve">2. The macro thesis — why the number should rise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The scarcity story is not speculative; it is arithmetic playing out in real transactions: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Over-allocation is baked in.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The 1922 Colorado River Compact and the state's basin decrees allocate more water than the system reliably delivers; the Arkansas basin imports Western-Slope water and is already fully spoken for. Supply cannot grow.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Cities are structural, permanent buyers.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Aurora, Colorado Springs, Thornton and others buy senior Ark-basin rights and, per Aurora Water's own supply managers, </w:t>
      </w: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rarely ever sell them back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 — they hold for population growth and dry years. Every purchase permanently removes a right from the market, tightening it further.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I-25 corridor growth is the demand pump.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Front Range population growth along I-25 is repeatedly cited as the primary driver pushing water prices up faster than ordinary supply-and-demand would predict.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Climate reduces the reliable yield.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Warming lowers Colorado River and snowpack reliability, so cities value senior, drought-proof rights at a growing premium over junior ones — exactly the class our 1862 shares fall into.</w:t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B5502F"/>
          <w:sz w:val="30"/>
          <w:szCs w:val="30"/>
        </w:rPr>
        <w:t xml:space="preserve">3. Hard comparables — what senior Ark-basin water actually trades for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These are recent, real, verifiable transactions in our basin or adjacent Colorado markets. They bracket the value of an acre-foot of senior, transferable water: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5080"/>
      </w:tblGrid>
      <w:tr>
        <w:trPr>
          <w:tblHeader/>
        </w:trPr>
        <w:tc>
          <w:tcPr>
            <w:tcW w:type="dxa" w:w="3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TRANSACTION</w:t>
            </w:r>
          </w:p>
        </w:tc>
        <w:tc>
          <w:tcPr>
            <w:tcW w:type="dxa" w:w="2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$ / ACRE-FOOT</w:t>
            </w:r>
          </w:p>
        </w:tc>
        <w:tc>
          <w:tcPr>
            <w:tcW w:type="dxa" w:w="508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CONTEXT</w:t>
            </w:r>
          </w:p>
        </w:tc>
      </w:tr>
      <w:tr>
        <w:tc>
          <w:tcPr>
            <w:tcW w:type="dxa" w:w="3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Aurora / Catlin Canal (Otero Co.)</w:t>
            </w:r>
          </w:p>
        </w:tc>
        <w:tc>
          <w:tcPr>
            <w:tcW w:type="dxa" w:w="2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~$10,240</w:t>
            </w:r>
          </w:p>
        </w:tc>
        <w:tc>
          <w:tcPr>
            <w:tcW w:type="dxa" w:w="508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April 2024. $76.8M for ~7,500 AF/yr of Arkansas-basin senior ditch rights (same basin family as ours). The nearest true comparable.</w:t>
            </w:r>
          </w:p>
        </w:tc>
      </w:tr>
      <w:tr>
        <w:tc>
          <w:tcPr>
            <w:tcW w:type="dxa" w:w="3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Colorado-Big Thompson (C-BT) units</w:t>
            </w:r>
          </w:p>
        </w:tc>
        <w:tc>
          <w:tcPr>
            <w:tcW w:type="dxa" w:w="2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~$52,000</w:t>
            </w:r>
          </w:p>
        </w:tc>
        <w:tc>
          <w:tcPr>
            <w:tcW w:type="dxa" w:w="508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Feb 2024 auction, 90 units. Northern Colorado / South Platte — a premium, highly liquid market. Upper bound, not our basin, but shows where scarce transferable water can go.</w:t>
            </w:r>
          </w:p>
        </w:tc>
      </w:tr>
      <w:tr>
        <w:tc>
          <w:tcPr>
            <w:tcW w:type="dxa" w:w="3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CO water-rights land listings (statewide avg)</w:t>
            </w:r>
          </w:p>
        </w:tc>
        <w:tc>
          <w:tcPr>
            <w:tcW w:type="dxa" w:w="2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n/a</w:t>
            </w:r>
          </w:p>
        </w:tc>
        <w:tc>
          <w:tcPr>
            <w:tcW w:type="dxa" w:w="508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June 2026: 115 water-rights properties listed, avg ~$12,756/acre of land. Confirms an active, priced market exists today.</w:t>
            </w:r>
          </w:p>
        </w:tc>
      </w:tr>
      <w:tr>
        <w:tc>
          <w:tcPr>
            <w:tcW w:type="dxa" w:w="3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Fallow-lease (Super Ditch / Catlin pilot)</w:t>
            </w:r>
          </w:p>
        </w:tc>
        <w:tc>
          <w:tcPr>
            <w:tcW w:type="dxa" w:w="20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~$700 / fallowed acre / yr</w:t>
            </w:r>
          </w:p>
        </w:tc>
        <w:tc>
          <w:tcPr>
            <w:tcW w:type="dxa" w:w="508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Lease income WITHOUT selling the right — farmers earned ~2× net vs. growing corn/alfalfa, keeping ≥70% of the right in ag. This is the “have-your-cake” path.</w:t>
            </w:r>
          </w:p>
        </w:tc>
      </w:tr>
    </w:tbl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default"/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B5502F"/>
          <w:sz w:val="30"/>
          <w:szCs w:val="30"/>
        </w:rPr>
        <w:t xml:space="preserve">4. Sizing OUR position — the honest range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default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60"/>
        <w:gridCol w:w="2460"/>
        <w:gridCol w:w="2560"/>
      </w:tblGrid>
      <w:tr>
        <w:trPr>
          <w:tblHeader/>
        </w:trPr>
        <w:tc>
          <w:tcPr>
            <w:tcW w:type="dxa" w:w="26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SCENARIO</w:t>
            </w:r>
          </w:p>
        </w:tc>
        <w:tc>
          <w:tcPr>
            <w:tcW w:type="dxa" w:w="24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ASSUMED CU (AF)</w:t>
            </w:r>
          </w:p>
        </w:tc>
        <w:tc>
          <w:tcPr>
            <w:tcW w:type="dxa" w:w="24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@ $10K/AF (TODAY)</w:t>
            </w:r>
          </w:p>
        </w:tc>
        <w:tc>
          <w:tcPr>
            <w:tcW w:type="dxa" w:w="25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@ $18K/AF (10–15 YR)</w:t>
            </w:r>
          </w:p>
        </w:tc>
      </w:tr>
      <w:tr>
        <w:tc>
          <w:tcPr>
            <w:tcW w:type="dxa" w:w="26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Conservative</w:t>
            </w:r>
          </w:p>
        </w:tc>
        <w:tc>
          <w:tcPr>
            <w:tcW w:type="dxa" w:w="24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8 AF total</w:t>
            </w:r>
          </w:p>
        </w:tc>
        <w:tc>
          <w:tcPr>
            <w:tcW w:type="dxa" w:w="24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$80,000</w:t>
            </w:r>
          </w:p>
        </w:tc>
        <w:tc>
          <w:tcPr>
            <w:tcW w:type="dxa" w:w="25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$144,000</w:t>
            </w:r>
          </w:p>
        </w:tc>
      </w:tr>
      <w:tr>
        <w:tc>
          <w:tcPr>
            <w:tcW w:type="dxa" w:w="26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Midpoint</w:t>
            </w:r>
          </w:p>
        </w:tc>
        <w:tc>
          <w:tcPr>
            <w:tcW w:type="dxa" w:w="24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14 AF total</w:t>
            </w:r>
          </w:p>
        </w:tc>
        <w:tc>
          <w:tcPr>
            <w:tcW w:type="dxa" w:w="24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$140,000</w:t>
            </w:r>
          </w:p>
        </w:tc>
        <w:tc>
          <w:tcPr>
            <w:tcW w:type="dxa" w:w="25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$252,000</w:t>
            </w:r>
          </w:p>
        </w:tc>
      </w:tr>
      <w:tr>
        <w:tc>
          <w:tcPr>
            <w:tcW w:type="dxa" w:w="260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Higher</w:t>
            </w:r>
          </w:p>
        </w:tc>
        <w:tc>
          <w:tcPr>
            <w:tcW w:type="dxa" w:w="24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22 AF total</w:t>
            </w:r>
          </w:p>
        </w:tc>
        <w:tc>
          <w:tcPr>
            <w:tcW w:type="dxa" w:w="24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$220,000</w:t>
            </w:r>
          </w:p>
        </w:tc>
        <w:tc>
          <w:tcPr>
            <w:tcW w:type="dxa" w:w="256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$396,000</w:t>
            </w:r>
          </w:p>
        </w:tc>
      </w:tr>
    </w:tbl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default"/>
      </w:r>
    </w:p>
    <w:p>
      <w:pPr>
        <w:spacing w:after="120" w:before="60"/>
      </w:pPr>
      <w:r>
        <w:rPr>
          <w:rFonts w:ascii="DM Sans" w:cs="DM Sans" w:eastAsia="DM Sans" w:hAnsi="DM Sans"/>
          <w:b w:val="false"/>
          <w:bCs w:val="false"/>
          <w:i/>
          <w:iCs/>
          <w:caps w:val="false"/>
          <w:color w:val="595959"/>
          <w:sz w:val="16"/>
          <w:szCs w:val="16"/>
        </w:rPr>
        <w:t xml:space="preserve">Appreciation assumption check: the jump from ~$10K to ~$18K/AF over 10–15 years is ~4% real annual growth — modest against a market where the Aurora/Catlin comp and C-BT auctions have run well ahead of general inflation, and where every city purchase permanently shrinks supply. It is deliberately not an aggressive number.</w:t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B5502F"/>
          <w:sz w:val="30"/>
          <w:szCs w:val="30"/>
        </w:rPr>
        <w:t xml:space="preserve">5. The four ways the value is actually realized</w:t>
      </w:r>
    </w:p>
    <w:p>
      <w:pPr>
        <w:spacing w:after="70" w:before="160"/>
      </w:pPr>
      <w:r>
        <w:rPr>
          <w:rFonts w:ascii="Barlow Condensed" w:cs="Barlow Condensed" w:eastAsia="Barlow Condensed" w:hAnsi="Barlow Condensed"/>
          <w:b/>
          <w:bCs/>
          <w:caps/>
          <w:color w:val="2F5E55"/>
          <w:sz w:val="24"/>
          <w:szCs w:val="24"/>
        </w:rPr>
        <w:t xml:space="preserve">Path A — Hold &amp; irrigate (base case)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Keep both shares irrigating the meadow: hay lease continuity, ag-status property-tax treatment, the branded farm and the guest-facing landscape all run on this water. Value here is USE value + optionality — we hold a senior right in an over-appropriated basin and let it appreciate while it works. Lowest risk, preserves every future path. This is the deck's current posture and it should stay the default.</w:t>
      </w:r>
    </w:p>
    <w:p>
      <w:pPr>
        <w:spacing w:after="70" w:before="160"/>
      </w:pPr>
      <w:r>
        <w:rPr>
          <w:rFonts w:ascii="Barlow Condensed" w:cs="Barlow Condensed" w:eastAsia="Barlow Condensed" w:hAnsi="Barlow Condensed"/>
          <w:b/>
          <w:bCs/>
          <w:caps/>
          <w:color w:val="2F5E55"/>
          <w:sz w:val="24"/>
          <w:szCs w:val="24"/>
        </w:rPr>
        <w:t xml:space="preserve">Path B — Fallow-lease (income without surrender)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default"/>
      </w:r>
    </w:p>
    <w:p>
      <w:pPr>
        <w:spacing w:after="70" w:before="160"/>
      </w:pPr>
      <w:r>
        <w:rPr>
          <w:rFonts w:ascii="Barlow Condensed" w:cs="Barlow Condensed" w:eastAsia="Barlow Condensed" w:hAnsi="Barlow Condensed"/>
          <w:b/>
          <w:bCs/>
          <w:caps/>
          <w:color w:val="2F5E55"/>
          <w:sz w:val="24"/>
          <w:szCs w:val="24"/>
        </w:rPr>
        <w:t xml:space="preserve">Path C — Sell the right (buy-and-dry) — the pure appreciation play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default"/>
      </w:r>
    </w:p>
    <w:p>
      <w:pPr>
        <w:spacing w:after="70" w:before="160"/>
      </w:pPr>
      <w:r>
        <w:rPr>
          <w:rFonts w:ascii="Barlow Condensed" w:cs="Barlow Condensed" w:eastAsia="Barlow Condensed" w:hAnsi="Barlow Condensed"/>
          <w:b/>
          <w:bCs/>
          <w:caps/>
          <w:color w:val="2F5E55"/>
          <w:sz w:val="24"/>
          <w:szCs w:val="24"/>
        </w:rPr>
        <w:t xml:space="preserve">Path D — Anti-dilution / replacement-cost value (defensive)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default"/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B5502F"/>
          <w:sz w:val="30"/>
          <w:szCs w:val="30"/>
        </w:rPr>
        <w:t xml:space="preserve">6. How to say it in front of partners (and how not to)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rPr>
          <w:tblHeader/>
        </w:trPr>
        <w:tc>
          <w:tcPr>
            <w:tcW w:type="dxa" w:w="504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SAY THIS (defensible)</w:t>
            </w:r>
          </w:p>
        </w:tc>
        <w:tc>
          <w:tcPr>
            <w:tcW w:type="dxa" w:w="504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26332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NOT THIS (a sophisticate will flag it)</w:t>
            </w:r>
          </w:p>
        </w:tc>
      </w:tr>
      <w:tr>
        <w:tc>
          <w:tcPr>
            <w:tcW w:type="dxa" w:w="504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“We hold senior 1862 rights in an over-appropriated basin where cities are permanent net buyers — a scarce, appreciating asset embedded at an ag-land price.”</w:t>
            </w:r>
          </w:p>
        </w:tc>
        <w:tc>
          <w:tcPr>
            <w:tcW w:type="dxa" w:w="504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“Our water is worth $X million.” (No — value depends on quantified CU and a willing municipal buyer; state it as a range with assumptions.)</w:t>
            </w:r>
          </w:p>
        </w:tc>
      </w:tr>
      <w:tr>
        <w:tc>
          <w:tcPr>
            <w:tcW w:type="dxa" w:w="504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“We can monetize via fallow-lease 3-in-10 years without drying the land or selling the asset.”</w:t>
            </w:r>
          </w:p>
        </w:tc>
        <w:tc>
          <w:tcPr>
            <w:tcW w:type="dxa" w:w="504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“We'll irrigate the farm AND sell the water.” (No — a sale requires a dry-up covenant; you can't do both at full value.)</w:t>
            </w:r>
          </w:p>
        </w:tc>
      </w:tr>
      <w:tr>
        <w:tc>
          <w:tcPr>
            <w:tcW w:type="dxa" w:w="504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shd w:fill="EFE6D4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“Comparable senior Ark-basin water traded at ~$10K/AF in 2024 (Aurora/Catlin); we're modeling modest appreciation from there.”</w:t>
            </w:r>
          </w:p>
        </w:tc>
        <w:tc>
          <w:tcPr>
            <w:tcW w:type="dxa" w:w="5040"/>
            <w:tcBorders>
              <w:top w:val="single" w:color="C9BDA4" w:sz="4"/>
              <w:left w:val="single" w:color="C9BDA4" w:sz="4"/>
              <w:bottom w:val="single" w:color="C9BDA4" w:sz="4"/>
              <w:right w:val="single" w:color="C9BDA4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26332F"/>
                <w:sz w:val="18"/>
                <w:szCs w:val="18"/>
              </w:rPr>
              <w:t xml:space="preserve">“Water rights always go up.” (No — junior rights, non-transferable deeds, and abandonment risk all cut the other way; specificity is credibility.)</w:t>
            </w:r>
          </w:p>
        </w:tc>
      </w:tr>
    </w:tbl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B5502F"/>
          <w:sz w:val="30"/>
          <w:szCs w:val="30"/>
        </w:rPr>
        <w:t xml:space="preserve">7. Diligence checklist to convert thesis into number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Quantify CU: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obtain the shares' historical consumptive-use figure (AF/yr) — from the ditch company, prior water-court filings, or a water engineer. This is the master input; everything above is directional until it's known.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Confirm transferability: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read the deed and the Chilili ditch company bylaws for any “water stays with the land” or boundary restrictions; confirm shares can be sold/leased separately if we ever want Paths B/C.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Verify priority &amp; good standing: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confirm the 1862 date on the decree, that assessments are current, and that there is no abandonment exposure (10+ yrs non-use creates a rebuttable presumption of abandonment under CO law).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Pull comparables: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ask a local water broker / the Lower Ark or Southeastern conservancy district for recent Purgatoire/Ark ditch-share trades to tighten the $/AF anchor to our specific ditch.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DM Sans" w:cs="DM Sans" w:eastAsia="DM Sans" w:hAnsi="DM Sans"/>
          <w:b/>
          <w:bCs/>
          <w:i w:val="false"/>
          <w:iCs w:val="false"/>
          <w:caps w:val="false"/>
          <w:color w:val="26332F"/>
          <w:sz w:val="20"/>
          <w:szCs w:val="20"/>
        </w:rPr>
        <w:t xml:space="preserve">Map the futile-call / administration risk: </w:t>
      </w: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26332F"/>
          <w:sz w:val="20"/>
          <w:szCs w:val="20"/>
        </w:rPr>
        <w:t xml:space="preserve">Division 2 (Arkansas) is re-reviewing historical “futile call” diversions; confirm our senior right isn't exposed to a change in administration.</w:t>
      </w:r>
    </w:p>
    <w:p>
      <w:pPr>
        <w:spacing w:after="120" w:before="240"/>
      </w:pPr>
      <w:r>
        <w:rPr>
          <w:rFonts w:ascii="DM Sans" w:cs="DM Sans" w:eastAsia="DM Sans" w:hAnsi="DM Sans"/>
          <w:b w:val="false"/>
          <w:bCs w:val="false"/>
          <w:i/>
          <w:iCs/>
          <w:caps w:val="false"/>
          <w:color w:val="595959"/>
          <w:sz w:val="14"/>
          <w:szCs w:val="14"/>
        </w:rPr>
        <w:t xml:space="preserve">Sources: Water Education Colorado (“Tapping the Market,” 2025); Colorado Sun / KUNC / Sentinel Colorado on the 2024 Aurora–Catlin $76.8M purchase; CSU Extension “Understanding Decreed Water Rights” (2026); Colorado DWR; Arkansas Valley Super Ditch pilot reporting; LandSearch CO water-rights listings (Jun 2026). Figures are directional and do not constitute an appraisal or legal advice; engage a Colorado water attorney and engineer before relying on any number here.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31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2633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2026-07-06T13:32:27.191Z</dcterms:created>
  <dcterms:modified xsi:type="dcterms:W3CDTF">2026-07-06T13:32:27.203Z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