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Barlow Condensed" w:cs="Barlow Condensed" w:eastAsia="Barlow Condensed" w:hAnsi="Barlow Condensed"/>
          <w:b/>
          <w:bCs/>
          <w:caps/>
          <w:color w:val="111111"/>
          <w:sz w:val="56"/>
          <w:szCs w:val="56"/>
        </w:rPr>
        <w:t xml:space="preserve">Basecamp Trinidad — Water · Energy · Farm Strategy</w:t>
      </w:r>
    </w:p>
    <w:p>
      <w:pPr>
        <w:spacing w:after="240" w:before="0"/>
      </w:pPr>
      <w:r>
        <w:rPr>
          <w:rFonts w:ascii="DM Sans" w:cs="DM Sans" w:eastAsia="DM Sans" w:hAnsi="DM Sans"/>
          <w:b w:val="false"/>
          <w:bCs w:val="false"/>
          <w:i/>
          <w:iCs/>
          <w:caps w:val="false"/>
          <w:color w:val="595959"/>
          <w:sz w:val="17"/>
          <w:szCs w:val="17"/>
        </w:rPr>
        <w:t xml:space="preserve">v2 · Updated 2026-07-06 · Incorporates realtor intel (2026-06-29), full TRO contract read, and FEMA panel 08071C1778C. All figures illustrative.</w:t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2"/>
          <w:szCs w:val="32"/>
        </w:rPr>
        <w:t xml:space="preserve">1. Water — two paths, one base case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The single biggest de-risk since v1. The tract is un-annexed with an existing extra-territorial DOMESTIC tap already serving it. That converts our water question from "can we get water at all" (well/haul risk) into "which of two City paths do we take" — and both are cheaper and faster than drilling.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840"/>
        <w:gridCol w:w="3840"/>
      </w:tblGrid>
      <w:tr>
        <w:trPr>
          <w:tblHeader/>
        </w:trP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AXIS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PATH A — EXTRATERRITORIAL COMMERCIAL TAP (BASE CASE)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PATH B — ANNEX INTO CITY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Land-use regime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Stays under Las Animas COUNTY — preserves R-Ranchette by-right lodging / restaurant / office. Our permitting freedom is the moat; this path keeps it.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City land-use code applies — new review layers on every structure; by-right freedom likely narrows.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Process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Application to City of Trinidad Water for a commercial extraterritorial tap; realtor reports this as a viable, established path here.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Annexation petition; realtor says "not difficult" adjacent to already-annexed land, but it is a City legislative process with hearings and conditions.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Capacity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OPEN — the deciding question. Ask Marc Vigil the max EQR/capacity available extraterritorially at this location. Buildout cap (~50 units / ~150 overnight) is set by water + septic, not land.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Potentially larger tap AND possible City SEWER — which would eliminate the engineered commercial OWTS entirely. That is the only prize big enough to justify Path B.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Cost / timeline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Tap fee + meter + service line. Typically far below well-drill + storage + treatment. Weeks-to-months.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Fee structure similar once annexed, but annexation itself adds months and possible exactions (ROW dedications, infrastructure conditions).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Decision rule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DEFAULT. Proceed unless Vigil states the extraterritorial cap cannot serve full build.</w:t>
            </w:r>
          </w:p>
        </w:tc>
        <w:tc>
          <w:tcPr>
            <w:tcW w:type="dxa" w:w="384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PHASE-3 OPTION. Revisit only if (a) extraterritorial capacity caps us below plan, or (b) City sewer is on the table. Adjacent-to-annexed status keeps this option open indefinitely — it costs nothing to hold.</w:t>
            </w:r>
          </w:p>
        </w:tc>
      </w:tr>
    </w:tbl>
    <w:p>
      <w:pPr>
        <w:spacing w:after="120" w:before="1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Irrigation is separate and already solved: 2 Chilili Ditch shares (senior 1862 priority) convey at closing and currently support two hay cuttings a year on Parcel 2. Ditch water irrigates the meadow, farm plots and landscape; the City tap serves potable/commercial load only. Keep the two systems strictly separate in plumbing and in permitting narrative.</w:t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2"/>
          <w:szCs w:val="32"/>
        </w:rPr>
        <w:t xml:space="preserve">2. Wastewater — one known unknown, one engineered known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Old tank (known unknown): a septic tank exists on site; condition and location unknown. Budget: locate (probe/records), pump + inspect, then repair-or-decommission. Carry a low-thousands contingency until inspected.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Full build (engineered known): everything commercial in this area runs on county-approved OWTS. ~150 overnight guests + cafe/taproom requires an ENGINEERED commercial system — this is a real line item; get an OWTS engineer estimate before the offer's diligence period ends.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Ground truth from the TRO plan (on-site observation): depth to groundwater 10–50 ft, soils sandy-to-clay. Upland leach fields on Parcel 3 are feasible; keep all fields well off the river corridor and out of the floodplain.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Realtor foresees no perc/siting issues but cannot guarantee until inspection — treat perc tests on the Parcel 3 core as a diligence-period contingency, not a post-closing task.</w:t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2"/>
          <w:szCs w:val="32"/>
        </w:rPr>
        <w:t xml:space="preserve">3. Flood truth and insurance-aware capex tiering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FEMA panel 08071C1778C (eff. 8/28/2019) resolves the geometry: the 100-year floodplain and floodway lie north/west along the Purgatoire — Parcel 1 only. Parcels 2 and 3, south of US-160, are Zone X (SFHA: No). The realtor's framing — "all buildable, insurable is very rough" — now has a map answer: put insured capital where insurance is cheap.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880"/>
      </w:tblGrid>
      <w:tr>
        <w:trPr>
          <w:tblHeader/>
        </w:trP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TIER</w:t>
            </w:r>
          </w:p>
        </w:tc>
        <w:tc>
          <w:tcPr>
            <w:tcW w:type="dxa" w:w="6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RULE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Zone X — P2 + P3</w:t>
            </w:r>
          </w:p>
        </w:tc>
        <w:tc>
          <w:tcPr>
            <w:tcW w:type="dxa" w:w="6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Permanent, financed, insured: Commons (store/cafe/taproom/work hub), bathhouse + laundry, cabins/domes, RV loop with hookups, glamping pods, residences. Normal construction financing, normal property cover, preferred-risk/optional flood.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Floodplain/floodway — P1</w:t>
            </w:r>
          </w:p>
        </w:tc>
        <w:tc>
          <w:tcPr>
            <w:tcW w:type="dxa" w:w="6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Movable, unfinanced, uninsured by design: riverside tent camp, movable river wellness, event lawn + movable stage, trails, horse turnout (movable fencing), gravel/grass event lot. Nothing here carries a premium because nothing here is insured.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Conditional — homestead</w:t>
            </w:r>
          </w:p>
        </w:tc>
        <w:tc>
          <w:tcPr>
            <w:tcW w:type="dxa" w:w="6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2f2ea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The one structure in/near the floodway. Reuse as HQ triggers a floodplain development permit + likely elevation/floodproofing + a real insurance quote. PRICE FIRST. Fallback is locked: unconditioned day-use shell; HQ function relocates into the Parcel 3 Commons.</w:t>
            </w:r>
          </w:p>
        </w:tc>
      </w:tr>
    </w:tbl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2"/>
          <w:szCs w:val="32"/>
        </w:rPr>
        <w:t xml:space="preserve">4. TRO / Russian-olive program — small, riparian, likely optional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What it is: a COST-SHARE under the PWWMC/SPPRCD Riparian Restoration Program — not a conservation easement. No use restriction; nothing recorded against title (verify at title).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Scope: ~3 acres of riparian treatment area on Parcel 1 (river/ditch corridor). Obligation is annual follow-up spray of re-sprouts + an annual tracking log + allowing monitoring.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Cost: 2019 professional rate $65–85/acre → roughly $200–255/yr hired, less DIY. Trivial opex either way.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Term: internal ambiguity — "project completion fall 2027" vs "five years post-project monitoring." Working figure ~2 seasons remaining; get the end date in writing from SPPRCD.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Transferability: signed by Ed Dionisio as a NON-owner applicant with permission; the treatment obligation has no successor/assigns clause. It very likely does not bind a buyer — assumption is a choice (to keep the restoration benefit), not an inherited liability. Confirm in writing.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Side finding for the farm plan: the plan documents Kochia at ~50% cover over ~30 ac of hay/ditch area and Scotch thistle by the house. Budget meadow weed management in Year-1 opex and ask the hay lessee what they currently run.</w:t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2"/>
          <w:szCs w:val="32"/>
        </w:rPr>
        <w:t xml:space="preserve">5. Energy from flow (carried forward, unchanged)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The Chilili ditch drop and river adjacency keep the micro-hydro / energy-from-flow concept alive as a Phase-3 exploration, not a dependency: any kilowatt generated is branding and resilience, not baseload. Primary energy remains grid service (will-serve letter pending, tracker row 13) with solar-ready roof orientation on the Commons and bathhouse. Nothing in the new intel changes this posture.</w:t>
      </w:r>
    </w:p>
    <w:p>
      <w:pPr>
        <w:spacing w:after="100" w:before="26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2"/>
          <w:szCs w:val="32"/>
        </w:rPr>
        <w:t xml:space="preserve">6. Farm / no-court unlock (carried forward, sharpened)</w:t>
      </w:r>
    </w:p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20"/>
          <w:szCs w:val="20"/>
        </w:rPr>
        <w:t xml:space="preserve">Parcel 2 remains the branded-farm and equestrian node: senior 1862 ditch water, existing hay operation to continue through a lease for ag-status continuity (tracker row 20), glamping pods on the meadow edge, barn + BYO-horse. The realtor independently recommended horse/wildlife use for the river tract — validation for river-side turnout with movable fencing, which stays inside the P1 "movable only" tier. Fishers Peak SP (19,200 ac, 16 mi of trails incl. horseback) and Trinidad Lake SP equestrian trails ~5 mi out anchor the BYO-horse positioning; the Tier-3 full stable stays a thin standalone — prefer the outfitter partnership.</w:t>
      </w:r>
    </w:p>
    <w:p>
      <w:pPr>
        <w:spacing w:before="300"/>
      </w:pPr>
      <w:r>
        <w:rPr>
          <w:rFonts w:ascii="DM Sans" w:cs="DM Sans" w:eastAsia="DM Sans" w:hAnsi="DM Sans"/>
          <w:b w:val="false"/>
          <w:bCs w:val="false"/>
          <w:i/>
          <w:iCs/>
          <w:caps w:val="false"/>
          <w:color w:val="595959"/>
          <w:sz w:val="15"/>
          <w:szCs w:val="15"/>
        </w:rPr>
        <w:t xml:space="preserve">Conventions: plat labels authoritative (P1 27.85 river · P2 7.91 meadow · P3 17.16 upland). No listing photos in deliverables. Deck shows ownership-stake language only — no NCTR percentages.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31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2026-07-06T12:45:13.093Z</dcterms:created>
  <dcterms:modified xsi:type="dcterms:W3CDTF">2026-07-06T12:45:13.093Z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