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1"/>
      </w:pPr>
      <w:r>
        <w:rPr>
          <w:rFonts w:ascii="Barlow Condensed" w:cs="Barlow Condensed" w:eastAsia="Barlow Condensed" w:hAnsi="Barlow Condensed"/>
          <w:b/>
          <w:bCs/>
          <w:caps/>
          <w:color w:val="111111"/>
          <w:sz w:val="52"/>
          <w:szCs w:val="52"/>
        </w:rPr>
        <w:t xml:space="preserve">Basecamp Trinidad — Diligence Tracker</w:t>
      </w:r>
    </w:p>
    <w:p>
      <w:pPr>
        <w:spacing w:after="160"/>
      </w:pPr>
      <w:r>
        <w:rPr>
          <w:rFonts w:ascii="DM Sans" w:cs="DM Sans" w:eastAsia="DM Sans" w:hAnsi="DM Sans"/>
          <w:b w:val="false"/>
          <w:bCs w:val="false"/>
          <w:color w:val="595959"/>
          <w:sz w:val="17"/>
          <w:szCs w:val="17"/>
        </w:rPr>
        <w:t xml:space="preserve">37401 US Highway 160, Trinidad, CO 81082 · 52.92 ac · MLS 25-1131 · Estate of Evelyn M. Dionisio (probate/MEC)   </w:t>
      </w:r>
      <w:r>
        <w:rPr>
          <w:rFonts w:ascii="DM Sans" w:cs="DM Sans" w:eastAsia="DM Sans" w:hAnsi="DM Sans"/>
          <w:b/>
          <w:bCs/>
          <w:color w:val="5a6b1f"/>
          <w:sz w:val="17"/>
          <w:szCs w:val="17"/>
        </w:rPr>
        <w:t xml:space="preserve">Updated 2026-07-06 · v3 (post-realtor-intel, post-TRO-read, post-flood-map)</w:t>
      </w:r>
    </w:p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2200"/>
        <w:gridCol w:w="1500"/>
        <w:gridCol w:w="5300"/>
        <w:gridCol w:w="3400"/>
      </w:tblGrid>
      <w:tr>
        <w:trPr>
          <w:tblHeader/>
        </w:trP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#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ITEM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STATUS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WHAT WE KNOW (2026-07-06)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NEXT ACTION / OWNER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Water supply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6b5a00"/>
                <w:sz w:val="15"/>
                <w:szCs w:val="15"/>
              </w:rPr>
              <w:t xml:space="preserve">UPDATED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Existing extra-territorial DOMESTIC tap. Two paths: (a) apply for extraterritorial COMMERCIAL tap and stay under county land-use regime (base case — preserves R-Ranchette by-right freedom); (b) annex into City (realtor: 'not difficult' adjacent to annexed land). Tap fee far cheaper than well/haul.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Call Marc Vigil (719-846-9843): commercial tap availability, fee, max EQR/capacity vs. annexation. ACTION #2.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2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Septic / OWTS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6b5a00"/>
                <w:sz w:val="15"/>
                <w:szCs w:val="15"/>
              </w:rPr>
              <w:t xml:space="preserve">UPDATED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Area runs on county-approved septic (res + commercial). Old tank on site — condition and location unknown; expect expense. TRO doc confirms groundwater 10–50 ft, soils sandy-to-clay: upland OWTS feasible. Full build (~150 overnight + F&amp;B) needs engineered commercial OWTS.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Call Las Animas Planning (719-845-2577): commercial OWTS process, perc requirements, old-tank inspect/decommission path. Get OWTS engineer estimate. ACTION #3.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3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Floodplain / floodway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3d5a1e"/>
                <w:sz w:val="15"/>
                <w:szCs w:val="15"/>
              </w:rPr>
              <w:t xml:space="preserve">ANSWERED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InterFlood/FEMA panel 08071C1778C (8/28/2019): subject point Zone X — SFHA: No. 100-yr floodplain + floodway sit north/west along the Purgatoire = Parcel 1 only. Parcels 2 &amp; 3 (south of US-160) are Zone X. Realtor framing confirmed: binding constraint is insurance economics, not a build ban.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Confirm effective FIRMette at msc.fema.gov; save panel showing P1 in / P2-P3 out. ACTION #5. Homestead reuse → floodplain permit + insurance quote (row 19).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4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Gas line / CIG parcel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 — CRITICAL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Not only an easement: separately owned FEE parcel — schedule 10689801, acct R0027935, COLORADO INTERSTATE GAS CO, 2.14 deeded ac (Kinder Morgan family, interstate transmission — no local tap upside). May be an inholding inside or alongside Parcel 3 build core. No easement copy yet; recorded easement should surface in title.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Call Jodi Amato (719-846-2295): is 10689801 an inholding? Which schedules make the 52.92 ac? Pull assessor GIS outline. 811 locate before P3 layout freeze. ACTIONS #1 + #6.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5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Russian-olive / TRO program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3d5a1e"/>
                <w:sz w:val="15"/>
                <w:szCs w:val="15"/>
              </w:rPr>
              <w:t xml:space="preserve">ANSWERED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Contract read in full. Cost-share, NOT a conservation easement; no use restriction; ~3 ac riparian treatment area (Parcel 1 only). Obligation: annual re-sprout spray + tracking log; 2019 rate $65–85/ac ≈ $200–255/yr hired. Signed by Ed Dionisio as NON-owner applicant; no successor/assigns clause on the treatment obligation → very likely optional for a buyer to assume. Term ambiguity: 'completion fall 2027' vs '5 yrs post-project'.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Get end date + transferability IN WRITING from SPPRCD (Donna Albertson / PWWMC 719-469-2847). ACTION #4.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6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Zoning / land use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3d5a1e"/>
                <w:sz w:val="15"/>
                <w:szCs w:val="15"/>
              </w:rPr>
              <w:t xml:space="preserve">ANSWERED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Zoned R (Ranchette), Las Animas County: residential / ag / livestock by right PLUS lodging, restaurant, office. Setbacks F30 / S15 / R25; height 45 ft. Zoning green light for the full program under the county regime.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None — protect this by choosing the county-regime water path (row 1).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7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CDOT access (US-160)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US-160 runs diagonally through the property; separate access likely required per side. Region 2 pre-application needed before layout freeze on entries.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CDOT R2 pre-app: 719-562-5540. Ask process, spacing standards, likely permit type per side.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8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Chilili Ditch shares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3d5a1e"/>
                <w:sz w:val="15"/>
                <w:szCs w:val="15"/>
              </w:rPr>
              <w:t xml:space="preserve">ANSWERED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2 shares, senior 1862 priority, currently supporting 2 hay cuttings/yr on Parcel 2. Certificates exist (name + share count only); convey and are signed over at closing. Agent will not email them (fraud caution).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Inspect certificates at showing/title. Confirm transfer mechanics in contract language.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9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Title / APN reconciliation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 — CRITICAL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Master outline labeled 14015000; 14615000 SE upland; slivers 12868200 / 13879500 at homestead; CIG 10689801 possibly inside outline. Realtor parcel numbering is reversed from BH2 plat numbering (her P3 = our P1). Translation table drafted; APN assignments pending assessor confirmation.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Title commitment must state which schedules convey and whether 52.92 ac excludes the 2.14-ac CIG parcel. ACTION #1.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10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Probate / MEC sale process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Seller is the Estate of Evelyn M. Dionisio — expect slower close, court/PR approvals possible. Use this to negotiate a real diligence period.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Ask Gina Raye (719-680-0743) for the estate's authority docs + expected close timeline; structure contingencies accordingly.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11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Railroad (D&amp;RG line)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3d5a1e"/>
                <w:sz w:val="15"/>
                <w:szCs w:val="15"/>
              </w:rPr>
              <w:t xml:space="preserve">ANSWERED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Active line along the bottomland edge, ~2 Amtrak trains/day. Low freight intensity assumed; noise/setback consideration for riverside tent camp siting only.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Site tent pads with buffer; note in P1 plan. No further diligence required.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12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Homestead structure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Derelict homestead at Parcel 1 SE hinge, in/near floodway. HQ-reuse pending conveyance confirmation + floodplain rules + insurance economics. Fallback: unconditioned day-use only; HQ function relocates to Parcel 3 Commons.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Floodplain development permit inquiry (county floodplain admin) + elevation/floodproofing scope + insurance quote (row 19) before committing capex.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13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Electric service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Provider and 3-phase availability at US-160 frontage unconfirmed. RV loop (24 pads at 50A), Commons and bathhouse loads need a will-serve letter.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Identify provider (likely San Isabel Electric); request will-serve + line-extension estimate to Parcel 3 core.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14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Broadband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Unconfirmed. Work-hub positioning in Commons depends on real bandwidth; fixed wireless / Starlink fallback viable.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Check CenturyLink/regional WISP coverage at address; price business Starlink as bridge.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15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Mineral rights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Unknown whether minerals severed; CIG presence signals historic energy activity in the corridor.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Title commitment Schedule B review; ask for mineral estate status and any lease memoranda.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16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Survey / plat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3d5a1e"/>
                <w:sz w:val="15"/>
                <w:szCs w:val="15"/>
              </w:rPr>
              <w:t xml:space="preserve">ANSWERED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BH2 Land Surveying plat dated May 8, 2025: Parcel 1 = 27.85 ac, Parcel 2 = 7.91 ac, Parcel 3 = 17.16 ac (S½ Sec 4, T33S, R63W, 6th P.M.). Plat is the authoritative parcel-numbering source for all deliverables.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None — carry plat labels through every document (locked convention).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17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Noxious weeds (non-woody)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6b5a00"/>
                <w:sz w:val="15"/>
                <w:szCs w:val="15"/>
              </w:rPr>
              <w:t xml:space="preserve">UPDATED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From TRO plan: Kochia at ~50% cover across ~30 ac of hay field + ditch corridor (Parcel 2 impact); Scotch thistle ~0.5 ac at 2% around house. Woody invasives (Russian-olive/tamarisk) cut 3/2023, sprayed 2023–2025. County/State weed databases hold the property's mapped data.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Budget a meadow weed-management line (mowing + selective spray) in Year 1 opex; ask hay lessee current practice.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18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Soils / groundwater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6b5a00"/>
                <w:sz w:val="15"/>
                <w:szCs w:val="15"/>
              </w:rPr>
              <w:t xml:space="preserve">UPDATED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TRO plan ground-truth: depth to groundwater 10–50 ft; soils sandy to clay. Supports upland leach fields (Parcel 3) and standard shallow foundations; keep leach fields off the river corridor.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Fold into OWTS engineer scope (row 2). Perc test locations on Parcel 3 core.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19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Insurance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New tiering: Zone X (P2+P3) → preferred-risk/optional flood + normal property cover for all financed structures. P1 carries no insured structures by design. Sole open item: homestead-in-floodway quote if HQ reuse pursued.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Get one flood + property quote on the homestead scenario; if rough, lock the day-use fallback.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20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Property tax / ag status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Current raw-land tax $539/yr. Hay lease on Parcel 2 may support ag classification continuity; commercial improvements on Parcel 3 will re-rate that parcel.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Ask assessor (Jodi Amato) how mixed ag/commercial use is classified and what the hay lease must show to keep ag status on P2.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21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Event permitting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8a1f1f"/>
                <w:sz w:val="15"/>
                <w:szCs w:val="15"/>
              </w:rPr>
              <w:t xml:space="preserve">OPEN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Event lawn + stage (few hundred attendees) on Parcel 1. County special-event permit path, noise, parking (~50-car event lot planned) unconfirmed.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Las Animas Planning: temporary/special event permit requirements, thresholds, frequency caps.</w:t>
            </w:r>
          </w:p>
        </w:tc>
      </w:tr>
      <w:tr>
        <w:tc>
          <w:tcPr>
            <w:tcW w:type="dxa" w:w="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5"/>
                <w:szCs w:val="15"/>
              </w:rPr>
              <w:t xml:space="preserve">22</w:t>
            </w:r>
          </w:p>
        </w:tc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11111"/>
                <w:sz w:val="17"/>
                <w:szCs w:val="17"/>
              </w:rPr>
              <w:t xml:space="preserve">Annexation option value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6b5a00"/>
                <w:sz w:val="15"/>
                <w:szCs w:val="15"/>
              </w:rPr>
              <w:t xml:space="preserve">UPDATED</w:t>
            </w:r>
          </w:p>
        </w:tc>
        <w:tc>
          <w:tcPr>
            <w:tcW w:type="dxa" w:w="53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Not needed for base case. Phase-3 note: annexation earns its keep only if it unlocks City sewer (kills the big engineered OWTS) or a larger tap than the extraterritorial path allows. Adjacent-to-annexed-land status keeps the option open.</w:t>
            </w:r>
          </w:p>
        </w:tc>
        <w:tc>
          <w:tcPr>
            <w:tcW w:type="dxa" w:w="3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Park until Marc Vigil answers row 1 capacity question; document as Phase-3 optionality in strategy doc.</w:t>
            </w:r>
          </w:p>
        </w:tc>
      </w:tr>
    </w:tbl>
    <w:p>
      <w:pPr>
        <w:pStyle w:val="H2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0"/>
          <w:szCs w:val="30"/>
        </w:rPr>
        <w:t xml:space="preserve">Action queue — run in this order</w:t>
      </w:r>
    </w:p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6260"/>
        <w:gridCol w:w="3200"/>
        <w:gridCol w:w="2800"/>
      </w:tblGrid>
      <w:tr>
        <w:trPr>
          <w:tblHeader/>
        </w:trPr>
        <w:tc>
          <w:tcPr>
            <w:tcW w:type="dxa" w:w="7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SEQ</w:t>
            </w:r>
          </w:p>
        </w:tc>
        <w:tc>
          <w:tcPr>
            <w:tcW w:type="dxa" w:w="62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ACTION</w:t>
            </w:r>
          </w:p>
        </w:tc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CONTACT</w:t>
            </w:r>
          </w:p>
        </w:tc>
        <w:tc>
          <w:tcPr>
            <w:tcW w:type="dxa" w:w="2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ffffff"/>
                <w:sz w:val="15"/>
                <w:szCs w:val="15"/>
              </w:rPr>
              <w:t xml:space="preserve">WHY IT'S SEQUENCED</w:t>
            </w:r>
          </w:p>
        </w:tc>
      </w:tr>
      <w:tr>
        <w:tc>
          <w:tcPr>
            <w:tcW w:type="dxa" w:w="7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7"/>
                <w:szCs w:val="17"/>
              </w:rPr>
              <w:t xml:space="preserve">1</w:t>
            </w:r>
          </w:p>
        </w:tc>
        <w:tc>
          <w:tcPr>
            <w:tcW w:type="dxa" w:w="62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Assessor: confirm APNs + CIG 10689801 inholding status; pull GIS outline</w:t>
            </w:r>
          </w:p>
        </w:tc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Mono" w:cs="DM Mono" w:eastAsia="DM Mono" w:hAnsi="DM Mono"/>
                <w:b w:val="false"/>
                <w:bCs w:val="false"/>
                <w:color w:val="111111"/>
                <w:sz w:val="16"/>
                <w:szCs w:val="16"/>
              </w:rPr>
              <w:t xml:space="preserve">Jodi Amato, 719-846-2295</w:t>
            </w:r>
          </w:p>
        </w:tc>
        <w:tc>
          <w:tcPr>
            <w:tcW w:type="dxa" w:w="2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Blocks: P3 layout freeze, offer</w:t>
            </w:r>
          </w:p>
        </w:tc>
      </w:tr>
      <w:tr>
        <w:tc>
          <w:tcPr>
            <w:tcW w:type="dxa" w:w="7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7"/>
                <w:szCs w:val="17"/>
              </w:rPr>
              <w:t xml:space="preserve">2</w:t>
            </w:r>
          </w:p>
        </w:tc>
        <w:tc>
          <w:tcPr>
            <w:tcW w:type="dxa" w:w="62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Water: extraterritorial COMMERCIAL tap — availability, fee, max EQR; annexation comparison</w:t>
            </w:r>
          </w:p>
        </w:tc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Mono" w:cs="DM Mono" w:eastAsia="DM Mono" w:hAnsi="DM Mono"/>
                <w:b w:val="false"/>
                <w:bCs w:val="false"/>
                <w:color w:val="111111"/>
                <w:sz w:val="16"/>
                <w:szCs w:val="16"/>
              </w:rPr>
              <w:t xml:space="preserve">Marc Vigil, 719-846-9843</w:t>
            </w:r>
          </w:p>
        </w:tc>
        <w:tc>
          <w:tcPr>
            <w:tcW w:type="dxa" w:w="2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Blocks: capacity cap, capex model</w:t>
            </w:r>
          </w:p>
        </w:tc>
      </w:tr>
      <w:tr>
        <w:tc>
          <w:tcPr>
            <w:tcW w:type="dxa" w:w="7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7"/>
                <w:szCs w:val="17"/>
              </w:rPr>
              <w:t xml:space="preserve">3</w:t>
            </w:r>
          </w:p>
        </w:tc>
        <w:tc>
          <w:tcPr>
            <w:tcW w:type="dxa" w:w="62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Septic: commercial OWTS process + perc + old-tank inspection path; engineer estimate</w:t>
            </w:r>
          </w:p>
        </w:tc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Mono" w:cs="DM Mono" w:eastAsia="DM Mono" w:hAnsi="DM Mono"/>
                <w:b w:val="false"/>
                <w:bCs w:val="false"/>
                <w:color w:val="111111"/>
                <w:sz w:val="16"/>
                <w:szCs w:val="16"/>
              </w:rPr>
              <w:t xml:space="preserve">Las Animas Planning, 719-845-2577</w:t>
            </w:r>
          </w:p>
        </w:tc>
        <w:tc>
          <w:tcPr>
            <w:tcW w:type="dxa" w:w="2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Blocks: capex contingency</w:t>
            </w:r>
          </w:p>
        </w:tc>
      </w:tr>
      <w:tr>
        <w:tc>
          <w:tcPr>
            <w:tcW w:type="dxa" w:w="7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7"/>
                <w:szCs w:val="17"/>
              </w:rPr>
              <w:t xml:space="preserve">4</w:t>
            </w:r>
          </w:p>
        </w:tc>
        <w:tc>
          <w:tcPr>
            <w:tcW w:type="dxa" w:w="62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TRO: end date + buyer-assumption status IN WRITING</w:t>
            </w:r>
          </w:p>
        </w:tc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Mono" w:cs="DM Mono" w:eastAsia="DM Mono" w:hAnsi="DM Mono"/>
                <w:b w:val="false"/>
                <w:bCs w:val="false"/>
                <w:color w:val="111111"/>
                <w:sz w:val="16"/>
                <w:szCs w:val="16"/>
              </w:rPr>
              <w:t xml:space="preserve">Donna Albertson / PWWMC, 719-469-2847</w:t>
            </w:r>
          </w:p>
        </w:tc>
        <w:tc>
          <w:tcPr>
            <w:tcW w:type="dxa" w:w="2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Blocks: offer contingency list</w:t>
            </w:r>
          </w:p>
        </w:tc>
      </w:tr>
      <w:tr>
        <w:tc>
          <w:tcPr>
            <w:tcW w:type="dxa" w:w="7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7"/>
                <w:szCs w:val="17"/>
              </w:rPr>
              <w:t xml:space="preserve">5</w:t>
            </w:r>
          </w:p>
        </w:tc>
        <w:tc>
          <w:tcPr>
            <w:tcW w:type="dxa" w:w="62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FEMA: confirm effective FIRM panel 08071C1778C; save FIRMette</w:t>
            </w:r>
          </w:p>
        </w:tc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Mono" w:cs="DM Mono" w:eastAsia="DM Mono" w:hAnsi="DM Mono"/>
                <w:b w:val="false"/>
                <w:bCs w:val="false"/>
                <w:color w:val="111111"/>
                <w:sz w:val="16"/>
                <w:szCs w:val="16"/>
              </w:rPr>
              <w:t xml:space="preserve">msc.fema.gov (self-serve)</w:t>
            </w:r>
          </w:p>
        </w:tc>
        <w:tc>
          <w:tcPr>
            <w:tcW w:type="dxa" w:w="2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Blocks: insurance tiering sign-off</w:t>
            </w:r>
          </w:p>
        </w:tc>
      </w:tr>
      <w:tr>
        <w:tc>
          <w:tcPr>
            <w:tcW w:type="dxa" w:w="7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color w:val="111111"/>
                <w:sz w:val="17"/>
                <w:szCs w:val="17"/>
              </w:rPr>
              <w:t xml:space="preserve">6</w:t>
            </w:r>
          </w:p>
        </w:tc>
        <w:tc>
          <w:tcPr>
            <w:tcW w:type="dxa" w:w="62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811 utility locate: CIG pipeline footprint across Parcel 3</w:t>
            </w:r>
          </w:p>
        </w:tc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Mono" w:cs="DM Mono" w:eastAsia="DM Mono" w:hAnsi="DM Mono"/>
                <w:b w:val="false"/>
                <w:bCs w:val="false"/>
                <w:color w:val="111111"/>
                <w:sz w:val="16"/>
                <w:szCs w:val="16"/>
              </w:rPr>
              <w:t xml:space="preserve">Colorado 811 (call 811)</w:t>
            </w:r>
          </w:p>
        </w:tc>
        <w:tc>
          <w:tcPr>
            <w:tcW w:type="dxa" w:w="2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 w:val="false"/>
                <w:bCs w:val="false"/>
                <w:color w:val="111111"/>
                <w:sz w:val="16"/>
                <w:szCs w:val="16"/>
              </w:rPr>
              <w:t xml:space="preserve">Blocks: P3 site plan</w:t>
            </w:r>
          </w:p>
        </w:tc>
      </w:tr>
    </w:tbl>
    <w:p>
      <w:pPr>
        <w:spacing w:before="200"/>
      </w:pPr>
      <w:r>
        <w:rPr>
          <w:rFonts w:ascii="DM Sans" w:cs="DM Sans" w:eastAsia="DM Sans" w:hAnsi="DM Sans"/>
          <w:b w:val="false"/>
          <w:bCs w:val="false"/>
          <w:i/>
          <w:iCs/>
          <w:color w:val="595959"/>
          <w:sz w:val="14"/>
          <w:szCs w:val="14"/>
        </w:rPr>
        <w:t xml:space="preserve">All figures illustrative. Plat labels (BH2, May 8 2025) are authoritative: Parcel 1 = 27.85 ac river · Parcel 2 = 7.91 ac meadow · Parcel 3 = 17.16 ac upland. Realtor's 'Parcel 3' = our Parcel 1.</w:t>
      </w:r>
    </w:p>
    <w:sectPr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111111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1">
    <w:name w:val="H1"/>
    <w:basedOn w:val="Normal"/>
    <w:pPr>
      <w:spacing w:after="60"/>
    </w:pPr>
    <w:rPr>
      <w:rFonts w:ascii="Barlow Condensed" w:cs="Barlow Condensed" w:eastAsia="Barlow Condensed" w:hAnsi="Barlow Condensed"/>
      <w:b/>
      <w:bCs/>
      <w:caps/>
      <w:color w:val="111111"/>
      <w:sz w:val="52"/>
      <w:szCs w:val="52"/>
    </w:rPr>
  </w:style>
  <w:style w:type="paragraph" w:styleId="H2">
    <w:name w:val="H2"/>
    <w:basedOn w:val="Normal"/>
    <w:pPr>
      <w:spacing w:after="80" w:before="200"/>
    </w:pPr>
    <w:rPr>
      <w:rFonts w:ascii="Barlow Condensed" w:cs="Barlow Condensed" w:eastAsia="Barlow Condensed" w:hAnsi="Barlow Condensed"/>
      <w:b/>
      <w:bCs/>
      <w:caps/>
      <w:color w:val="5a6b1f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2026-07-06T12:43:18.138Z</dcterms:created>
  <dcterms:modified xsi:type="dcterms:W3CDTF">2026-07-06T12:43:18.138Z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