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Barlow Condensed" w:cs="Barlow Condensed" w:eastAsia="Barlow Condensed" w:hAnsi="Barlow Condensed"/>
          <w:b/>
          <w:bCs/>
          <w:caps/>
          <w:color w:val="111111"/>
          <w:sz w:val="52"/>
          <w:szCs w:val="52"/>
        </w:rPr>
        <w:t xml:space="preserve">Basecamp Trinidad — Business Model Update</w:t>
      </w:r>
    </w:p>
    <w:p>
      <w:pPr>
        <w:spacing w:after="200" w:before="0"/>
      </w:pPr>
      <w:r>
        <w:rPr>
          <w:rFonts w:ascii="DM Sans" w:cs="DM Sans" w:eastAsia="DM Sans" w:hAnsi="DM Sans"/>
          <w:b w:val="false"/>
          <w:bCs w:val="false"/>
          <w:i/>
          <w:iCs/>
          <w:caps w:val="false"/>
          <w:color w:val="595959"/>
          <w:sz w:val="16"/>
          <w:szCs w:val="16"/>
        </w:rPr>
        <w:t xml:space="preserve">2026-07-06 · Deltas applied to the v1 medium full-build baseline. All figures illustrative.</w:t>
      </w:r>
    </w:p>
    <w:p>
      <w:pPr>
        <w:spacing w:after="80"/>
      </w:pPr>
      <w:r>
        <w:rPr>
          <w:rFonts w:ascii="Barlow Condensed" w:cs="Barlow Condensed" w:eastAsia="Barlow Condensed" w:hAnsi="Barlow Condensed"/>
          <w:b/>
          <w:bCs/>
          <w:caps/>
          <w:color w:val="5a6b1f"/>
          <w:sz w:val="30"/>
          <w:szCs w:val="30"/>
        </w:rPr>
        <w:t xml:space="preserve">Baseline (unchanged spine)</w:t>
      </w:r>
    </w:p>
    <w:p>
      <w:pPr>
        <w:spacing w:after="20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18"/>
          <w:szCs w:val="18"/>
        </w:rPr>
        <w:t xml:space="preserve">Medium full-build: revenue ~$885K · NOI View A $363K (Alliance-funded) / View B $265K (Basecamp-funded) · capex $1.76M · payback 4.8–6.6 yr. Capacity: ~50 units / ~150 overnight (24 RV · 6 glamping · 6 cabins · ~15 riverside tents · 2 residences); event days a few hundred. Cap is water + septic, not land. NCTR integration locked: status-based access via Crescendo (earned, never billed), on-site + e-commerce revenue share into 360LOCK as a single editable cell, two P&amp;L views, node now → own Impact Engine later.</w:t>
      </w:r>
    </w:p>
    <w:p>
      <w:pPr>
        <w:spacing w:after="80"/>
      </w:pPr>
      <w:r>
        <w:rPr>
          <w:rFonts w:ascii="Barlow Condensed" w:cs="Barlow Condensed" w:eastAsia="Barlow Condensed" w:hAnsi="Barlow Condensed"/>
          <w:b/>
          <w:bCs/>
          <w:caps/>
          <w:color w:val="5a6b1f"/>
          <w:sz w:val="30"/>
          <w:szCs w:val="30"/>
        </w:rPr>
        <w:t xml:space="preserve">Deltas from the new intel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500"/>
        <w:gridCol w:w="4180"/>
        <w:gridCol w:w="2000"/>
      </w:tblGrid>
      <w:tr>
        <w:trPr>
          <w:tblHeader/>
        </w:trP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5"/>
                <w:szCs w:val="15"/>
              </w:rPr>
              <w:t xml:space="preserve">LINE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5"/>
                <w:szCs w:val="15"/>
              </w:rPr>
              <w:t xml:space="preserve">DIRECTION</w:t>
            </w:r>
          </w:p>
        </w:tc>
        <w:tc>
          <w:tcPr>
            <w:tcW w:type="dxa" w:w="41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5"/>
                <w:szCs w:val="15"/>
              </w:rPr>
              <w:t xml:space="preserve">WHAT CHANGED</w:t>
            </w:r>
          </w:p>
        </w:tc>
        <w:tc>
          <w:tcPr>
            <w:tcW w:type="dxa" w:w="2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11111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ffffff"/>
                <w:sz w:val="15"/>
                <w:szCs w:val="15"/>
              </w:rPr>
              <w:t xml:space="preserve">MODEL MOVE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Water capex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ef4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DOWN</w:t>
            </w:r>
          </w:p>
        </w:tc>
        <w:tc>
          <w:tcPr>
            <w:tcW w:type="dxa" w:w="41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Well-drill/haul contingency replaced by extraterritorial commercial tap fee (Path A, county regime). Cheaper AND lower execution risk.</w:t>
            </w:r>
          </w:p>
        </w:tc>
        <w:tc>
          <w:tcPr>
            <w:tcW w:type="dxa" w:w="2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Swap well line for tap fee once Vigil quotes it; delete haul contingency.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Septic capex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UP</w:t>
            </w:r>
          </w:p>
        </w:tc>
        <w:tc>
          <w:tcPr>
            <w:tcW w:type="dxa" w:w="41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Old tank of unknown condition/location + engineered commercial OWTS for ~150 overnight + F&amp;B. Soils/groundwater (sandy-clay, 10–50 ft) support upland fields.</w:t>
            </w:r>
          </w:p>
        </w:tc>
        <w:tc>
          <w:tcPr>
            <w:tcW w:type="dxa" w:w="2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Add inspect/decommission line (low $K) + OWTS engineer estimate as its own capex row.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Net water+septic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7f3df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~FLAT</w:t>
            </w:r>
          </w:p>
        </w:tc>
        <w:tc>
          <w:tcPr>
            <w:tcW w:type="dxa" w:w="41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Likely wash-to-slightly-up vs. the prior well-based figure — but far more CERTAIN, which is the real gain for financing.</w:t>
            </w:r>
          </w:p>
        </w:tc>
        <w:tc>
          <w:tcPr>
            <w:tcW w:type="dxa" w:w="2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Re-run payback after Actions #2–#3 return numbers.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Insurance opex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ef4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DOWN</w:t>
            </w:r>
          </w:p>
        </w:tc>
        <w:tc>
          <w:tcPr>
            <w:tcW w:type="dxa" w:w="41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P2+P3 confirmed Zone X → preferred-risk/optional flood on all financed structures. P1 carries zero insured assets by design.</w:t>
            </w:r>
          </w:p>
        </w:tc>
        <w:tc>
          <w:tcPr>
            <w:tcW w:type="dxa" w:w="2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Insurance line = normal property cover only; single open quote is the homestead scenario.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TRO opex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7f3df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+~$250/yr</w:t>
            </w:r>
          </w:p>
        </w:tc>
        <w:tc>
          <w:tcPr>
            <w:tcW w:type="dxa" w:w="41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~3 riparian acres, ~2 seasons remaining, and likely OPTIONAL to assume (non-owner signature, no successor clause). Near-zero drag.</w:t>
            </w:r>
          </w:p>
        </w:tc>
        <w:tc>
          <w:tcPr>
            <w:tcW w:type="dxa" w:w="2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Add as flagged-optional opex row through 2027; drop if SPPRCD confirms non-transfer.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Meadow weed mgmt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7f3df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+Year-1 opex</w:t>
            </w:r>
          </w:p>
        </w:tc>
        <w:tc>
          <w:tcPr>
            <w:tcW w:type="dxa" w:w="41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TRO plan documents Kochia ~50% cover across ~30 ac hay/ditch. Manageable ag item, not woody re-infestation.</w:t>
            </w:r>
          </w:p>
        </w:tc>
        <w:tc>
          <w:tcPr>
            <w:tcW w:type="dxa" w:w="2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Small Year-1 mowing/selective-spray line; ask hay lessee's current practice.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Risk-weighted capex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ef4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DOWN</w:t>
            </w:r>
          </w:p>
        </w:tc>
        <w:tc>
          <w:tcPr>
            <w:tcW w:type="dxa" w:w="41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Core optimization: insured/financed capital confined to Zone X (P2+P3); flood-exposed program is cheap + movable by design. Same program, lower risk per dollar.</w:t>
            </w:r>
          </w:p>
        </w:tc>
        <w:tc>
          <w:tcPr>
            <w:tcW w:type="dxa" w:w="2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Re-tier the Capex &amp; Returns sheet into Zone-X / P1-movable / homestead-conditional tiers.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P3 layout risk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deeee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OPEN</w:t>
            </w:r>
          </w:p>
        </w:tc>
        <w:tc>
          <w:tcPr>
            <w:tcW w:type="dxa" w:w="41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CIG fee parcel 10689801 (2.14 ac) + probable pipeline easement may sit in the Parcel 3 build core. RV loop / Commons / bathhouse siting frozen until mapped.</w:t>
            </w:r>
          </w:p>
        </w:tc>
        <w:tc>
          <w:tcPr>
            <w:tcW w:type="dxa" w:w="2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No P3 capex commitments pre-title + 811 locate. Corridor reuse upside: mowed firebreak / utility / trail alignment.</w:t>
            </w:r>
          </w:p>
        </w:tc>
      </w:tr>
      <w:tr>
        <w:tc>
          <w:tcPr>
            <w:tcW w:type="dxa" w:w="24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Annexation option</w:t>
            </w:r>
          </w:p>
        </w:tc>
        <w:tc>
          <w:tcPr>
            <w:tcW w:type="dxa" w:w="15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7f3df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Mono" w:cs="DM Mono" w:eastAsia="DM Mono" w:hAnsi="DM Mono"/>
                <w:b/>
                <w:bCs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OPTION VALUE</w:t>
            </w:r>
          </w:p>
        </w:tc>
        <w:tc>
          <w:tcPr>
            <w:tcW w:type="dxa" w:w="41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Free to hold. Exercises only if City sewer (kills OWTS capex) or a bigger tap is on the table. Phase-3 note.</w:t>
            </w:r>
          </w:p>
        </w:tc>
        <w:tc>
          <w:tcPr>
            <w:tcW w:type="dxa" w:w="20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i w:val="false"/>
                <w:iCs w:val="false"/>
                <w:caps w:val="false"/>
                <w:color w:val="111111"/>
                <w:sz w:val="17"/>
                <w:szCs w:val="17"/>
              </w:rPr>
              <w:t xml:space="preserve">Document; no model change now.</w:t>
            </w:r>
          </w:p>
        </w:tc>
      </w:tr>
    </w:tbl>
    <w:p>
      <w:pPr>
        <w:spacing w:after="80" w:before="240"/>
      </w:pPr>
      <w:r>
        <w:rPr>
          <w:rFonts w:ascii="Barlow Condensed" w:cs="Barlow Condensed" w:eastAsia="Barlow Condensed" w:hAnsi="Barlow Condensed"/>
          <w:b/>
          <w:bCs/>
          <w:caps/>
          <w:color w:val="5a6b1f"/>
          <w:sz w:val="30"/>
          <w:szCs w:val="30"/>
        </w:rPr>
        <w:t xml:space="preserve">Offer structure (probate/MEC)</w:t>
      </w:r>
    </w:p>
    <w:p>
      <w:pPr>
        <w:spacing w:after="100" w:before="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aps w:val="false"/>
          <w:color w:val="111111"/>
          <w:sz w:val="18"/>
          <w:szCs w:val="18"/>
        </w:rPr>
        <w:t xml:space="preserve">Slower close is leverage: structure a real diligence period with these contingencies — title commitment (which APNs convey; CIG easement; whether 52.92 ac excludes 10689801; Chilili shares; mineral status) · per-parcel floodplain determination · CDOT R2 access pre-app · extraterritorial commercial tap availability/capacity/fee in writing · perc + OWTS feasibility + old-tank inspection · SPPRCD written TRO term/transfer answer · share certificates inspected at title, signed over at closing.</w:t>
      </w:r>
    </w:p>
    <w:p>
      <w:pPr>
        <w:spacing w:before="120"/>
      </w:pPr>
      <w:r>
        <w:rPr>
          <w:rFonts w:ascii="DM Sans" w:cs="DM Sans" w:eastAsia="DM Sans" w:hAnsi="DM Sans"/>
          <w:b w:val="false"/>
          <w:bCs w:val="false"/>
          <w:i/>
          <w:iCs/>
          <w:caps w:val="false"/>
          <w:color w:val="595959"/>
          <w:sz w:val="15"/>
          <w:szCs w:val="15"/>
        </w:rPr>
        <w:t xml:space="preserve">Re-run the Scenarios sheet after Actions #1–#3 return real numbers; the 11% NCTR cell and both P&amp;L views are untouched by every delta above.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color w:val="111111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2026-07-06T12:45:39.918Z</dcterms:created>
  <dcterms:modified xsi:type="dcterms:W3CDTF">2026-07-06T12:45:39.919Z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